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00" w:type="dxa"/>
        <w:tblCellSpacing w:w="0" w:type="dxa"/>
        <w:tblCellMar>
          <w:left w:w="0" w:type="dxa"/>
          <w:right w:w="0" w:type="dxa"/>
        </w:tblCellMar>
        <w:tblLook w:val="04A0"/>
      </w:tblPr>
      <w:tblGrid>
        <w:gridCol w:w="8400"/>
      </w:tblGrid>
      <w:tr w:rsidR="00AB197D" w:rsidRPr="00AB197D" w:rsidTr="00AB197D">
        <w:trPr>
          <w:tblCellSpacing w:w="0" w:type="dxa"/>
        </w:trPr>
        <w:tc>
          <w:tcPr>
            <w:tcW w:w="0" w:type="auto"/>
            <w:vAlign w:val="center"/>
            <w:hideMark/>
          </w:tcPr>
          <w:tbl>
            <w:tblPr>
              <w:tblW w:w="8400" w:type="dxa"/>
              <w:jc w:val="center"/>
              <w:tblCellSpacing w:w="0" w:type="dxa"/>
              <w:tblCellMar>
                <w:left w:w="0" w:type="dxa"/>
                <w:right w:w="0" w:type="dxa"/>
              </w:tblCellMar>
              <w:tblLook w:val="04A0"/>
            </w:tblPr>
            <w:tblGrid>
              <w:gridCol w:w="120"/>
              <w:gridCol w:w="7905"/>
              <w:gridCol w:w="105"/>
              <w:gridCol w:w="270"/>
            </w:tblGrid>
            <w:tr w:rsidR="00AB197D" w:rsidRPr="00AB197D">
              <w:trPr>
                <w:tblCellSpacing w:w="0" w:type="dxa"/>
                <w:jc w:val="center"/>
              </w:trPr>
              <w:tc>
                <w:tcPr>
                  <w:tcW w:w="120" w:type="dxa"/>
                  <w:hideMark/>
                </w:tcPr>
                <w:p w:rsidR="00AB197D" w:rsidRPr="00AB197D" w:rsidRDefault="00AB197D" w:rsidP="00AB197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 cy="38100"/>
                        <wp:effectExtent l="19050" t="0" r="0" b="0"/>
                        <wp:docPr id="1" name="puce2" descr="http://www.maires81.asso.fr/image/commun/elements-pages/puc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e2" descr="http://www.maires81.asso.fr/image/commun/elements-pages/puce3.gif"/>
                                <pic:cNvPicPr>
                                  <a:picLocks noChangeAspect="1" noChangeArrowheads="1"/>
                                </pic:cNvPicPr>
                              </pic:nvPicPr>
                              <pic:blipFill>
                                <a:blip r:embed="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hideMark/>
                </w:tcPr>
                <w:p w:rsidR="00AB197D" w:rsidRPr="00AB197D" w:rsidRDefault="00AB197D" w:rsidP="00AB197D">
                  <w:pPr>
                    <w:spacing w:after="0" w:line="240" w:lineRule="auto"/>
                    <w:rPr>
                      <w:rFonts w:ascii="Times New Roman" w:eastAsia="Times New Roman" w:hAnsi="Times New Roman" w:cs="Times New Roman"/>
                      <w:sz w:val="24"/>
                      <w:szCs w:val="24"/>
                      <w:lang w:eastAsia="fr-FR"/>
                    </w:rPr>
                  </w:pPr>
                  <w:r w:rsidRPr="00AB197D">
                    <w:rPr>
                      <w:rFonts w:ascii="Times New Roman" w:eastAsia="Times New Roman" w:hAnsi="Times New Roman" w:cs="Times New Roman"/>
                      <w:b/>
                      <w:bCs/>
                      <w:sz w:val="24"/>
                      <w:szCs w:val="24"/>
                      <w:lang w:eastAsia="fr-FR"/>
                    </w:rPr>
                    <w:t>Quelle est l’étendue des pouvoirs de police du maire en matière de mise en fourrière des véhicules ?</w:t>
                  </w:r>
                </w:p>
              </w:tc>
              <w:tc>
                <w:tcPr>
                  <w:tcW w:w="105" w:type="dxa"/>
                  <w:vAlign w:val="center"/>
                  <w:hideMark/>
                </w:tcPr>
                <w:p w:rsidR="00AB197D" w:rsidRPr="00AB197D" w:rsidRDefault="00AB197D" w:rsidP="00AB197D">
                  <w:pPr>
                    <w:spacing w:after="0" w:line="240" w:lineRule="auto"/>
                    <w:rPr>
                      <w:rFonts w:ascii="Times New Roman" w:eastAsia="Times New Roman" w:hAnsi="Times New Roman" w:cs="Times New Roman"/>
                      <w:sz w:val="24"/>
                      <w:szCs w:val="24"/>
                      <w:lang w:eastAsia="fr-FR"/>
                    </w:rPr>
                  </w:pPr>
                  <w:r w:rsidRPr="00AB197D">
                    <w:rPr>
                      <w:rFonts w:ascii="Times New Roman" w:eastAsia="Times New Roman" w:hAnsi="Times New Roman" w:cs="Times New Roman"/>
                      <w:sz w:val="24"/>
                      <w:szCs w:val="24"/>
                      <w:lang w:eastAsia="fr-FR"/>
                    </w:rPr>
                    <w:t> </w:t>
                  </w:r>
                </w:p>
              </w:tc>
              <w:tc>
                <w:tcPr>
                  <w:tcW w:w="240" w:type="dxa"/>
                  <w:vAlign w:val="center"/>
                  <w:hideMark/>
                </w:tcPr>
                <w:p w:rsidR="00AB197D" w:rsidRPr="00AB197D" w:rsidRDefault="00AB197D" w:rsidP="00AB197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2400" cy="152400"/>
                        <wp:effectExtent l="19050" t="0" r="0" b="0"/>
                        <wp:docPr id="2" name="fleche2" descr="http://www.maires81.asso.fr/image/commun/elements-pages/fleche-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2" descr="http://www.maires81.asso.fr/image/commun/elements-pages/fleche-bleue.gi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B197D" w:rsidRPr="00AB197D" w:rsidRDefault="00AB197D" w:rsidP="00AB197D">
            <w:pPr>
              <w:spacing w:after="0" w:line="240" w:lineRule="auto"/>
              <w:jc w:val="center"/>
              <w:rPr>
                <w:rFonts w:ascii="Times New Roman" w:eastAsia="Times New Roman" w:hAnsi="Times New Roman" w:cs="Times New Roman"/>
                <w:sz w:val="24"/>
                <w:szCs w:val="24"/>
                <w:lang w:eastAsia="fr-FR"/>
              </w:rPr>
            </w:pPr>
          </w:p>
        </w:tc>
      </w:tr>
    </w:tbl>
    <w:p w:rsidR="00AB197D" w:rsidRPr="00AB197D" w:rsidRDefault="00AB197D" w:rsidP="00AB197D">
      <w:pPr>
        <w:spacing w:after="0" w:line="240" w:lineRule="auto"/>
        <w:rPr>
          <w:rFonts w:ascii="Times New Roman" w:eastAsia="Times New Roman" w:hAnsi="Times New Roman" w:cs="Times New Roman"/>
          <w:vanish/>
          <w:sz w:val="24"/>
          <w:szCs w:val="24"/>
          <w:lang w:eastAsia="fr-FR"/>
        </w:rPr>
      </w:pPr>
    </w:p>
    <w:tbl>
      <w:tblPr>
        <w:tblW w:w="8400" w:type="dxa"/>
        <w:tblCellSpacing w:w="0" w:type="dxa"/>
        <w:tblCellMar>
          <w:left w:w="0" w:type="dxa"/>
          <w:right w:w="0" w:type="dxa"/>
        </w:tblCellMar>
        <w:tblLook w:val="04A0"/>
      </w:tblPr>
      <w:tblGrid>
        <w:gridCol w:w="8400"/>
      </w:tblGrid>
      <w:tr w:rsidR="00AB197D" w:rsidRPr="00AB197D" w:rsidTr="00AB197D">
        <w:trPr>
          <w:tblCellSpacing w:w="0" w:type="dxa"/>
        </w:trPr>
        <w:tc>
          <w:tcPr>
            <w:tcW w:w="0" w:type="auto"/>
            <w:vAlign w:val="center"/>
            <w:hideMark/>
          </w:tcPr>
          <w:tbl>
            <w:tblPr>
              <w:tblW w:w="8400" w:type="dxa"/>
              <w:jc w:val="center"/>
              <w:tblCellSpacing w:w="0" w:type="dxa"/>
              <w:tblCellMar>
                <w:left w:w="0" w:type="dxa"/>
                <w:right w:w="0" w:type="dxa"/>
              </w:tblCellMar>
              <w:tblLook w:val="04A0"/>
            </w:tblPr>
            <w:tblGrid>
              <w:gridCol w:w="420"/>
              <w:gridCol w:w="7635"/>
              <w:gridCol w:w="105"/>
              <w:gridCol w:w="240"/>
            </w:tblGrid>
            <w:tr w:rsidR="00AB197D" w:rsidRPr="00AB197D">
              <w:trPr>
                <w:tblCellSpacing w:w="0" w:type="dxa"/>
                <w:jc w:val="center"/>
              </w:trPr>
              <w:tc>
                <w:tcPr>
                  <w:tcW w:w="375" w:type="dxa"/>
                  <w:hideMark/>
                </w:tcPr>
                <w:p w:rsidR="00AB197D" w:rsidRPr="00AB197D" w:rsidRDefault="00AB197D" w:rsidP="00AB197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47650" cy="247650"/>
                        <wp:effectExtent l="19050" t="0" r="0" b="0"/>
                        <wp:docPr id="3" name="Image 3" descr="http://www.maires81.asso.fr/image/commun/picto-imprim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res81.asso.fr/image/commun/picto-imprimer.gif">
                                  <a:hlinkClick r:id="rId6"/>
                                </pic:cNvPr>
                                <pic:cNvPicPr>
                                  <a:picLocks noChangeAspect="1" noChangeArrowheads="1"/>
                                </pic:cNvPicPr>
                              </pic:nvPicPr>
                              <pic:blipFill>
                                <a:blip r:embed="rId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0" w:type="auto"/>
                  <w:hideMark/>
                </w:tcPr>
                <w:p w:rsidR="00AB197D" w:rsidRPr="00AB197D" w:rsidRDefault="00AB197D" w:rsidP="00AB197D">
                  <w:pPr>
                    <w:spacing w:before="100" w:beforeAutospacing="1" w:after="100" w:afterAutospacing="1" w:line="240" w:lineRule="auto"/>
                    <w:rPr>
                      <w:rFonts w:ascii="Times New Roman" w:eastAsia="Times New Roman" w:hAnsi="Times New Roman" w:cs="Times New Roman"/>
                      <w:sz w:val="24"/>
                      <w:szCs w:val="24"/>
                      <w:lang w:eastAsia="fr-FR"/>
                    </w:rPr>
                  </w:pPr>
                  <w:r w:rsidRPr="00AB197D">
                    <w:rPr>
                      <w:rFonts w:ascii="Times New Roman" w:eastAsia="Times New Roman" w:hAnsi="Times New Roman" w:cs="Times New Roman"/>
                      <w:sz w:val="24"/>
                      <w:szCs w:val="24"/>
                      <w:lang w:eastAsia="fr-FR"/>
                    </w:rPr>
                    <w:t>Les maires ont la qualité d’officier de police judiciaire et, à ce titre, ils ont une compétence générale, comme les officiers de police judiciaire de la Police nationale et de la Gendarmerie, pour constater, là où ils sont en droit de le faire, « n’importe quelle infraction, y compris les infractions justificatives de mise en fourrière et, notamment, les contraventions pour stationnement abusif », sous la direction du procureur de la République. »</w:t>
                  </w:r>
                </w:p>
                <w:p w:rsidR="00AB197D" w:rsidRPr="00AB197D" w:rsidRDefault="00AB197D" w:rsidP="00AB197D">
                  <w:pPr>
                    <w:spacing w:before="100" w:beforeAutospacing="1" w:after="100" w:afterAutospacing="1" w:line="240" w:lineRule="auto"/>
                    <w:rPr>
                      <w:rFonts w:ascii="Times New Roman" w:eastAsia="Times New Roman" w:hAnsi="Times New Roman" w:cs="Times New Roman"/>
                      <w:sz w:val="24"/>
                      <w:szCs w:val="24"/>
                      <w:lang w:eastAsia="fr-FR"/>
                    </w:rPr>
                  </w:pPr>
                  <w:r w:rsidRPr="00AB197D">
                    <w:rPr>
                      <w:rFonts w:ascii="Times New Roman" w:eastAsia="Times New Roman" w:hAnsi="Times New Roman" w:cs="Times New Roman"/>
                      <w:sz w:val="24"/>
                      <w:szCs w:val="24"/>
                      <w:lang w:eastAsia="fr-FR"/>
                    </w:rPr>
                    <w:t xml:space="preserve">Dans la loi du 18 mars 2003 pour la Sécurité intérieure, le législateur a inscrit la possibilité pour les maires de demander, sous leur responsabilité, la mise en fourrière des véhicules, mais il n’a pas étendu leur pouvoir de prescription en ce domaine ». « Si l’institution d’une police municipale ou la nomination d’un garde champêtre, dont les élus locaux apprécient l’opportunité, modifient de fait le partage des tâches de police avec les services de la Police nationale ou de la Gendarmerie, elles ne diminuent pas en droit les compétences de ces derniers : c’est pourquoi, dans toutes les communes, quelles qu’elles soient, les maires peuvent demander la mise en fourrière d’un véhicule à un officier de police judiciaire, de la police nationale ou de la gendarmerie, territorialement compétent, à charge pour celui-ci d’apprécier l’opportunité et la légalité d’une telle décision en regard des dispositions du Code de procédure pénale et du Code de la route. » </w:t>
                  </w:r>
                </w:p>
              </w:tc>
              <w:tc>
                <w:tcPr>
                  <w:tcW w:w="105" w:type="dxa"/>
                  <w:vAlign w:val="center"/>
                  <w:hideMark/>
                </w:tcPr>
                <w:p w:rsidR="00AB197D" w:rsidRPr="00AB197D" w:rsidRDefault="00AB197D" w:rsidP="00AB197D">
                  <w:pPr>
                    <w:spacing w:after="0" w:line="240" w:lineRule="auto"/>
                    <w:rPr>
                      <w:rFonts w:ascii="Times New Roman" w:eastAsia="Times New Roman" w:hAnsi="Times New Roman" w:cs="Times New Roman"/>
                      <w:sz w:val="24"/>
                      <w:szCs w:val="24"/>
                      <w:lang w:eastAsia="fr-FR"/>
                    </w:rPr>
                  </w:pPr>
                  <w:r w:rsidRPr="00AB197D">
                    <w:rPr>
                      <w:rFonts w:ascii="Times New Roman" w:eastAsia="Times New Roman" w:hAnsi="Times New Roman" w:cs="Times New Roman"/>
                      <w:sz w:val="24"/>
                      <w:szCs w:val="24"/>
                      <w:lang w:eastAsia="fr-FR"/>
                    </w:rPr>
                    <w:t> </w:t>
                  </w:r>
                </w:p>
              </w:tc>
              <w:tc>
                <w:tcPr>
                  <w:tcW w:w="240" w:type="dxa"/>
                  <w:vAlign w:val="center"/>
                  <w:hideMark/>
                </w:tcPr>
                <w:p w:rsidR="00AB197D" w:rsidRPr="00AB197D" w:rsidRDefault="00AB197D" w:rsidP="00AB197D">
                  <w:pPr>
                    <w:spacing w:after="0" w:line="240" w:lineRule="auto"/>
                    <w:jc w:val="center"/>
                    <w:rPr>
                      <w:rFonts w:ascii="Times New Roman" w:eastAsia="Times New Roman" w:hAnsi="Times New Roman" w:cs="Times New Roman"/>
                      <w:sz w:val="24"/>
                      <w:szCs w:val="24"/>
                      <w:lang w:eastAsia="fr-FR"/>
                    </w:rPr>
                  </w:pPr>
                  <w:r w:rsidRPr="00AB197D">
                    <w:rPr>
                      <w:rFonts w:ascii="Times New Roman" w:eastAsia="Times New Roman" w:hAnsi="Times New Roman" w:cs="Times New Roman"/>
                      <w:sz w:val="24"/>
                      <w:szCs w:val="24"/>
                      <w:lang w:eastAsia="fr-FR"/>
                    </w:rPr>
                    <w:t> </w:t>
                  </w:r>
                </w:p>
              </w:tc>
            </w:tr>
          </w:tbl>
          <w:p w:rsidR="00AB197D" w:rsidRPr="00AB197D" w:rsidRDefault="00AB197D" w:rsidP="00AB197D">
            <w:pPr>
              <w:spacing w:after="0" w:line="240" w:lineRule="auto"/>
              <w:jc w:val="center"/>
              <w:rPr>
                <w:rFonts w:ascii="Times New Roman" w:eastAsia="Times New Roman" w:hAnsi="Times New Roman" w:cs="Times New Roman"/>
                <w:sz w:val="24"/>
                <w:szCs w:val="24"/>
                <w:lang w:eastAsia="fr-FR"/>
              </w:rPr>
            </w:pPr>
          </w:p>
        </w:tc>
      </w:tr>
    </w:tbl>
    <w:p w:rsidR="00AB197D" w:rsidRPr="00AB197D" w:rsidRDefault="00AB197D" w:rsidP="00AB197D">
      <w:pPr>
        <w:spacing w:after="0" w:line="240" w:lineRule="auto"/>
        <w:rPr>
          <w:rFonts w:ascii="Times New Roman" w:eastAsia="Times New Roman" w:hAnsi="Times New Roman" w:cs="Times New Roman"/>
          <w:vanish/>
          <w:sz w:val="24"/>
          <w:szCs w:val="24"/>
          <w:lang w:eastAsia="fr-FR"/>
        </w:rPr>
      </w:pPr>
    </w:p>
    <w:tbl>
      <w:tblPr>
        <w:tblW w:w="8400" w:type="dxa"/>
        <w:tblCellSpacing w:w="0" w:type="dxa"/>
        <w:tblCellMar>
          <w:left w:w="0" w:type="dxa"/>
          <w:right w:w="0" w:type="dxa"/>
        </w:tblCellMar>
        <w:tblLook w:val="04A0"/>
      </w:tblPr>
      <w:tblGrid>
        <w:gridCol w:w="8400"/>
      </w:tblGrid>
      <w:tr w:rsidR="00AB197D" w:rsidRPr="00AB197D" w:rsidTr="00AB197D">
        <w:trPr>
          <w:tblCellSpacing w:w="0" w:type="dxa"/>
        </w:trPr>
        <w:tc>
          <w:tcPr>
            <w:tcW w:w="0" w:type="auto"/>
            <w:vAlign w:val="center"/>
            <w:hideMark/>
          </w:tcPr>
          <w:p w:rsidR="00AB197D" w:rsidRPr="00AB197D" w:rsidRDefault="00AB197D" w:rsidP="00AB197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 cy="133350"/>
                  <wp:effectExtent l="0" t="0" r="0" b="0"/>
                  <wp:docPr id="4" name="Image 4" descr="http://www.maires81.asso.fr/image/commun/pixe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res81.asso.fr/image/commun/pixelTR.gif"/>
                          <pic:cNvPicPr>
                            <a:picLocks noChangeAspect="1" noChangeArrowheads="1"/>
                          </pic:cNvPicPr>
                        </pic:nvPicPr>
                        <pic:blipFill>
                          <a:blip r:embed="rId8" cstate="print"/>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r>
    </w:tbl>
    <w:p w:rsidR="00E617F6" w:rsidRDefault="00E617F6"/>
    <w:sectPr w:rsidR="00E617F6" w:rsidSect="00E61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compat/>
  <w:rsids>
    <w:rsidRoot w:val="00AB197D"/>
    <w:rsid w:val="00AB197D"/>
    <w:rsid w:val="00E617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B197D"/>
    <w:rPr>
      <w:b/>
      <w:bCs/>
    </w:rPr>
  </w:style>
  <w:style w:type="character" w:customStyle="1" w:styleId="txt-nav">
    <w:name w:val="txt-nav"/>
    <w:basedOn w:val="Policepardfaut"/>
    <w:rsid w:val="00AB197D"/>
  </w:style>
  <w:style w:type="paragraph" w:styleId="NormalWeb">
    <w:name w:val="Normal (Web)"/>
    <w:basedOn w:val="Normal"/>
    <w:uiPriority w:val="99"/>
    <w:unhideWhenUsed/>
    <w:rsid w:val="00AB19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B19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res81.asso.fr/html/outils/faq/result.php"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1311</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1</cp:revision>
  <dcterms:created xsi:type="dcterms:W3CDTF">2012-01-23T17:16:00Z</dcterms:created>
  <dcterms:modified xsi:type="dcterms:W3CDTF">2012-01-23T17:16:00Z</dcterms:modified>
</cp:coreProperties>
</file>